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  <w:gridCol w:w="289"/>
      </w:tblGrid>
      <w:tr w:rsidR="002F72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411BF1" w:rsidRDefault="00411BF1">
            <w:pPr>
              <w:pStyle w:val="1CStyle-1"/>
              <w:jc w:val="left"/>
            </w:pPr>
            <w:bookmarkStart w:id="0" w:name="_GoBack"/>
            <w:bookmarkEnd w:id="0"/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</w:tr>
      <w:tr w:rsidR="002F72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411BF1" w:rsidRDefault="00411BF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411BF1" w:rsidRDefault="002F72DC">
            <w:pPr>
              <w:pStyle w:val="1CStyle1"/>
            </w:pPr>
            <w:r>
              <w:t>Техническое задание по Лоту №1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411BF1" w:rsidRDefault="002F72DC">
            <w:pPr>
              <w:pStyle w:val="1CStyle1"/>
            </w:pPr>
            <w:r>
              <w:t>По открытому запросу предложений  в электронной форме № 110 348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0" w:type="dxa"/>
            <w:gridSpan w:val="50"/>
            <w:shd w:val="clear" w:color="FFFFFF" w:fill="auto"/>
            <w:vAlign w:val="bottom"/>
          </w:tcPr>
          <w:p w:rsidR="00411BF1" w:rsidRDefault="002F72DC">
            <w:pPr>
              <w:pStyle w:val="1CStyle1"/>
            </w:pPr>
            <w:r>
              <w:t>Для нужд: АО "Газпром газораспределение Тула"</w:t>
            </w:r>
          </w:p>
        </w:tc>
      </w:tr>
      <w:tr w:rsidR="002F72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411BF1" w:rsidRDefault="00411BF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</w:tr>
      <w:tr w:rsidR="002F72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411BF1" w:rsidRDefault="00411BF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</w:tr>
      <w:tr w:rsidR="002F72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411BF1" w:rsidRDefault="00411BF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</w:tr>
      <w:tr w:rsidR="002F72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</w:tcPr>
          <w:p w:rsidR="00411BF1" w:rsidRDefault="00411BF1">
            <w:pPr>
              <w:pStyle w:val="1CStyle-1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  <w:jc w:val="left"/>
            </w:pP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4"/>
              <w:jc w:val="left"/>
            </w:pPr>
            <w:r>
              <w:t>ОКДП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4"/>
              <w:jc w:val="left"/>
            </w:pPr>
            <w:r>
              <w:t>ОКВЭД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"/>
            </w:pPr>
            <w:r>
              <w:t>1.</w:t>
            </w:r>
          </w:p>
        </w:tc>
        <w:tc>
          <w:tcPr>
            <w:tcW w:w="8381" w:type="dxa"/>
            <w:gridSpan w:val="29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3"/>
              <w:jc w:val="left"/>
            </w:pPr>
            <w:r>
              <w:t>Предмет закупки.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411BF1">
            <w:pPr>
              <w:pStyle w:val="1CStyle5"/>
              <w:jc w:val="left"/>
            </w:pP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411BF1">
            <w:pPr>
              <w:pStyle w:val="1CStyle5"/>
              <w:jc w:val="left"/>
            </w:pP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6"/>
            </w:pPr>
            <w:r>
              <w:t>№</w:t>
            </w:r>
            <w:r>
              <w:br/>
              <w:t>п/п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7"/>
            </w:pPr>
            <w:r>
              <w:t>Наименование предмета закупки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8"/>
            </w:pPr>
            <w:r>
              <w:t>Ед.</w:t>
            </w:r>
            <w:r>
              <w:br/>
              <w:t>изм.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9"/>
            </w:pPr>
            <w:r>
              <w:t>Колич</w:t>
            </w:r>
            <w:r>
              <w:br/>
              <w:t>ество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9"/>
            </w:pPr>
            <w:r>
              <w:t>Допустимость аналога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10"/>
            </w:pPr>
            <w:r>
              <w:t>Грузополучатель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11"/>
            </w:pPr>
            <w:r>
              <w:t>Место (адрес) поставки товара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12"/>
            </w:pPr>
            <w:r>
              <w:t>1</w:t>
            </w:r>
          </w:p>
        </w:tc>
        <w:tc>
          <w:tcPr>
            <w:tcW w:w="5202" w:type="dxa"/>
            <w:gridSpan w:val="1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13"/>
              <w:jc w:val="left"/>
            </w:pPr>
            <w:r>
              <w:t xml:space="preserve">Аппаратура нахождения трасс и повреждений </w:t>
            </w:r>
            <w:r>
              <w:t>изоляции АНТПИ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9"/>
            </w:pPr>
            <w:r>
              <w:t>Штука</w:t>
            </w:r>
          </w:p>
        </w:tc>
        <w:tc>
          <w:tcPr>
            <w:tcW w:w="115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14"/>
            </w:pPr>
            <w:r>
              <w:t>2,000</w:t>
            </w:r>
          </w:p>
        </w:tc>
        <w:tc>
          <w:tcPr>
            <w:tcW w:w="86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15"/>
            </w:pPr>
            <w:r>
              <w:t>Нет</w:t>
            </w:r>
          </w:p>
        </w:tc>
        <w:tc>
          <w:tcPr>
            <w:tcW w:w="2890" w:type="dxa"/>
            <w:gridSpan w:val="10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13"/>
              <w:jc w:val="left"/>
            </w:pPr>
            <w:r>
              <w:t>АО "Газпром газораспределение Тула"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13"/>
              <w:jc w:val="left"/>
            </w:pPr>
            <w:r>
              <w:t>301260 Тульская обл. г.Киреевск бывшая шахта №5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445" w:type="dxa"/>
            <w:gridSpan w:val="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411BF1" w:rsidRDefault="002F72DC">
            <w:pPr>
              <w:pStyle w:val="1CStyle16"/>
            </w:pPr>
            <w:r>
              <w:t>Технические характеристики предмета закупки</w:t>
            </w:r>
          </w:p>
        </w:tc>
        <w:tc>
          <w:tcPr>
            <w:tcW w:w="13005" w:type="dxa"/>
            <w:gridSpan w:val="45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17"/>
              <w:jc w:val="left"/>
            </w:pPr>
            <w:r>
              <w:t>Генератор сигнальный Частоты сигнала на выходе генератора, Гц 1024±1 и 8192±8</w:t>
            </w:r>
            <w:r>
              <w:br/>
              <w:t xml:space="preserve">Модуляция </w:t>
            </w:r>
            <w:r>
              <w:t xml:space="preserve">сигнальной частоты с периодом повторения, мс 750±1 Длительность генерации напряжения сигнальной частоты, мс 250±1 Максимальная импульсная мощность (в фазе генерации напряжения) на омической нагрузке (при частоте сигнала 1024 Гц и напряжении питания 12 В), </w:t>
            </w:r>
            <w:r>
              <w:t>не менее, Вт 70</w:t>
            </w:r>
            <w:r>
              <w:br/>
              <w:t>Число ступеней регулировки выходной мощности генератора сигнального, (в диапазоне от 0 до 100%) 5</w:t>
            </w:r>
            <w:r>
              <w:br/>
              <w:t>Максимальная амплитуда напряжения в импульсе генерации (при напряжении питания 12 В на омической нагрузке 1 кОм), не менее, В 100 Продолжитель</w:t>
            </w:r>
            <w:r>
              <w:t>ность работы генератора (на омическую нагрузку сопротивлением от нуля - КЗ, до бесконечности - ХХ не ограничивается Напряжение питания генератора, В 10 – 15 Габаритные размеры генератора, мм 140x80x200 Масса генератора, не более, кг 1</w:t>
            </w:r>
            <w:r>
              <w:br/>
              <w:t xml:space="preserve">Приемник селективный </w:t>
            </w:r>
            <w:r>
              <w:t>Частоты полосы пропускания приемника, Гц 100±0.5; 1024±5; 8192±40 Добротность селективного усилителя, не менее, единиц 45 Чувствительность приемника по напряжению (полное отклонение точки шкального прибора), не менее, мкВ 20 Входное сопротивление усилителя</w:t>
            </w:r>
            <w:r>
              <w:t xml:space="preserve"> приемника (в режиме обследования состояния изоляции), не менее, МОм 6 Динамический диапазон (полное отклонение точки шкального прибора), не менее, дБ 90</w:t>
            </w:r>
            <w:r>
              <w:br/>
              <w:t>Напряжение питания (три элемента типа 316, размер «АА»), В 3.3...5 Ток потребления приемника (при выкл</w:t>
            </w:r>
            <w:r>
              <w:t>юченной цифровой индикации и напряжении питания 4.5В), не более, мА 40 Габаритные размеры приемника не более, мм 200x140x60 Масса приемника (без элементов питания), не более, кг 0,3</w:t>
            </w:r>
            <w:r>
              <w:br/>
              <w:t>Общие характеристики комплекта</w:t>
            </w:r>
            <w:r>
              <w:br/>
              <w:t>Площадь регистрируемого повреждения изоляци</w:t>
            </w:r>
            <w:r>
              <w:t>и, не менее, мм2: - при вводе в эксплуатацию трубопровода 1</w:t>
            </w:r>
            <w:r>
              <w:br/>
              <w:t>- в процессе эксплуатации трубопровода 10 Погрешность определения места повреждения изоляции, не хуже, м ± 0.5 Дальность действия аппаратуры при проверке изоляции трубопровода, км: - при вводе в э</w:t>
            </w:r>
            <w:r>
              <w:t>ксплуатацию трубопровода 2 - в процессе эксплуатации трубопровода 0.5 Точность определения оси трассы трубопровода, м ± 0.1</w:t>
            </w:r>
            <w:r>
              <w:br/>
              <w:t>Комплект поставки АНТПИ:</w:t>
            </w:r>
            <w:r>
              <w:br/>
              <w:t>1. Аккумулятор 12 В 1 шт 2. Антенна электромагнитная поисковая 1 шт 3. Генератор сигнальный АНТПИ 1 шт 4. З</w:t>
            </w:r>
            <w:r>
              <w:t>арядное устройство 1 шт 5. Клипса контактная магнитная 1 шт 6. Паспорт, инструкция по эксплуатации и техническое описание 1шт 7. Приемник поисковый селективный АНТПИ 1 шт 8. Провод (двойной) подключения генератору к источнику питания (2 м) 1шт 9. Провод по</w:t>
            </w:r>
            <w:r>
              <w:t>дключения генератора к нагрузке (10 м и 5 м) 2 шт 10. Провод сигнальный (экранированный) подключения к приемнику штыря сигнального (5 м) 1 шт 11. Рамка электромагнитная излучающая 1 шт 12. Телефоны головные 1 шт. 13. Футляр 1 шт.  14. Штырь заземления 2 шт</w:t>
            </w:r>
            <w:r>
              <w:t xml:space="preserve"> 15. Штырь сигнальный (со вставкой) 1 шт 16. Элемент питания тип «316»/АА/LR6 3 шт.</w:t>
            </w:r>
            <w:r>
              <w:br/>
            </w:r>
            <w:r>
              <w:br/>
            </w:r>
          </w:p>
        </w:tc>
      </w:tr>
      <w:tr w:rsidR="002F72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11BF1" w:rsidRDefault="002F72DC">
            <w:pPr>
              <w:pStyle w:val="1CStyle19"/>
            </w:pPr>
            <w:r>
              <w:t>2.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11BF1" w:rsidRDefault="002F72DC">
            <w:pPr>
              <w:pStyle w:val="1CStyle20"/>
              <w:jc w:val="left"/>
            </w:pPr>
            <w:r>
              <w:t>Условия поставки товаров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11BF1" w:rsidRDefault="002F72DC">
            <w:pPr>
              <w:pStyle w:val="1CStyle21"/>
            </w:pPr>
            <w:r>
              <w:t>Грузополучатель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5"/>
              <w:jc w:val="left"/>
            </w:pPr>
            <w:r>
              <w:t>АО "Газпром газораспределение Тула"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11BF1" w:rsidRDefault="002F72DC">
            <w:pPr>
              <w:pStyle w:val="1CStyle21"/>
            </w:pPr>
            <w:r>
              <w:t>Место (адрес)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2"/>
              <w:jc w:val="left"/>
            </w:pPr>
            <w:r>
              <w:t>301260 Тульская обл. г.Киреевск бывшая шахта №5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335" w:type="dxa"/>
            <w:gridSpan w:val="1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11BF1" w:rsidRDefault="002F72DC">
            <w:pPr>
              <w:pStyle w:val="1CStyle21"/>
            </w:pPr>
            <w:r>
              <w:t>Срок (период) поставки товаров</w:t>
            </w:r>
          </w:p>
        </w:tc>
        <w:tc>
          <w:tcPr>
            <w:tcW w:w="10115" w:type="dxa"/>
            <w:gridSpan w:val="3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2"/>
              <w:jc w:val="left"/>
            </w:pPr>
            <w:r>
              <w:t xml:space="preserve">От 20 до 30 календарных дней с даты </w:t>
            </w:r>
            <w:r>
              <w:t>заключения договора</w:t>
            </w:r>
          </w:p>
        </w:tc>
      </w:tr>
      <w:tr w:rsidR="002F72D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18"/>
              <w:jc w:val="left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  <w:tc>
          <w:tcPr>
            <w:tcW w:w="289" w:type="dxa"/>
            <w:shd w:val="clear" w:color="FFFFFF" w:fill="auto"/>
            <w:vAlign w:val="bottom"/>
          </w:tcPr>
          <w:p w:rsidR="00411BF1" w:rsidRDefault="00411BF1">
            <w:pPr>
              <w:pStyle w:val="1CStyle0"/>
            </w:pP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78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11BF1" w:rsidRDefault="002F72DC">
            <w:pPr>
              <w:pStyle w:val="1CStyle19"/>
            </w:pPr>
            <w:r>
              <w:t>3.</w:t>
            </w:r>
          </w:p>
        </w:tc>
        <w:tc>
          <w:tcPr>
            <w:tcW w:w="13872" w:type="dxa"/>
            <w:gridSpan w:val="48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411BF1" w:rsidRDefault="002F72DC">
            <w:pPr>
              <w:pStyle w:val="1CStyle23"/>
              <w:jc w:val="left"/>
            </w:pPr>
            <w:r>
              <w:t>Условия проведения закупочной процедуры.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4"/>
              <w:jc w:val="left"/>
            </w:pPr>
            <w:r>
              <w:t>Начальная (максимальная)  цена предмета закупки для участников, не освобожденных от уплаты НДС (с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5"/>
            </w:pPr>
            <w:r>
              <w:t>111 510,00</w:t>
            </w:r>
          </w:p>
        </w:tc>
        <w:tc>
          <w:tcPr>
            <w:tcW w:w="2312" w:type="dxa"/>
            <w:gridSpan w:val="8"/>
            <w:vMerge w:val="restart"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4"/>
              <w:jc w:val="left"/>
            </w:pPr>
            <w:r>
              <w:t>В том числе НДС,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5"/>
            </w:pPr>
            <w:r>
              <w:t>17 010,00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624" w:type="dxa"/>
            <w:gridSpan w:val="16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4"/>
              <w:jc w:val="left"/>
            </w:pPr>
            <w:r>
              <w:t xml:space="preserve">Начальная (максимальная)  цена предмета закупки для участников, использующих право на освобождение от уплаты НДС или не являющихся налогоплательщиками НДС </w:t>
            </w:r>
            <w:r>
              <w:t>(без  НДС), рублей</w:t>
            </w:r>
          </w:p>
        </w:tc>
        <w:tc>
          <w:tcPr>
            <w:tcW w:w="2601" w:type="dxa"/>
            <w:gridSpan w:val="9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8"/>
            </w:pPr>
            <w:r>
              <w:t>94 500,00</w:t>
            </w:r>
          </w:p>
        </w:tc>
        <w:tc>
          <w:tcPr>
            <w:tcW w:w="2312" w:type="dxa"/>
            <w:gridSpan w:val="8"/>
            <w:vMerge/>
            <w:tcBorders>
              <w:top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6"/>
            </w:pPr>
            <w:r>
              <w:t>Способ закупки</w:t>
            </w:r>
          </w:p>
        </w:tc>
        <w:tc>
          <w:tcPr>
            <w:tcW w:w="4913" w:type="dxa"/>
            <w:gridSpan w:val="1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7"/>
            </w:pPr>
            <w:r>
              <w:t>Открытый запрос предложений в электронной форме</w:t>
            </w:r>
          </w:p>
        </w:tc>
      </w:tr>
      <w:tr w:rsidR="00411BF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647" w:type="dxa"/>
            <w:gridSpan w:val="2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9"/>
            </w:pPr>
            <w:r>
              <w:t>Обязательное требование к условиям оплаты товара</w:t>
            </w:r>
          </w:p>
        </w:tc>
        <w:tc>
          <w:tcPr>
            <w:tcW w:w="7803" w:type="dxa"/>
            <w:gridSpan w:val="2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11BF1" w:rsidRDefault="002F72DC">
            <w:pPr>
              <w:pStyle w:val="1CStyle22"/>
              <w:jc w:val="left"/>
            </w:pPr>
            <w:r>
              <w:t>Оплата производится   по факту поставки товара путем перечисления денежных средств на расчетный счет Поставщика не</w:t>
            </w:r>
            <w:r>
              <w:t xml:space="preserve"> позднее 45 (сорока пяти) календарных дней от даты подписания товарных накладных  на основании выставленного Поставщиком счета.</w:t>
            </w:r>
          </w:p>
        </w:tc>
      </w:tr>
    </w:tbl>
    <w:p w:rsidR="00000000" w:rsidRDefault="002F72DC"/>
    <w:sectPr w:rsidR="00000000" w:rsidSect="002F72D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11BF1"/>
    <w:rsid w:val="002F72DC"/>
    <w:rsid w:val="0041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CStyle0">
    <w:name w:val="1CStyle0"/>
    <w:pPr>
      <w:jc w:val="center"/>
    </w:pPr>
    <w:rPr>
      <w:rFonts w:ascii="Times New Roman" w:hAnsi="Times New Roman"/>
    </w:rPr>
  </w:style>
  <w:style w:type="paragraph" w:customStyle="1" w:styleId="1CStyle18">
    <w:name w:val="1CStyle18"/>
    <w:pPr>
      <w:jc w:val="center"/>
    </w:pPr>
    <w:rPr>
      <w:rFonts w:ascii="Times New Roman" w:hAnsi="Times New Roman"/>
    </w:rPr>
  </w:style>
  <w:style w:type="paragraph" w:customStyle="1" w:styleId="1CStyle23">
    <w:name w:val="1CStyle23"/>
    <w:pPr>
      <w:jc w:val="center"/>
    </w:pPr>
    <w:rPr>
      <w:rFonts w:ascii="Times New Roman" w:hAnsi="Times New Roman"/>
      <w:b/>
    </w:rPr>
  </w:style>
  <w:style w:type="paragraph" w:customStyle="1" w:styleId="1CStyle1">
    <w:name w:val="1CStyle1"/>
    <w:pPr>
      <w:jc w:val="center"/>
    </w:pPr>
    <w:rPr>
      <w:rFonts w:ascii="Times New Roman" w:hAnsi="Times New Roman"/>
      <w:b/>
      <w:sz w:val="28"/>
    </w:rPr>
  </w:style>
  <w:style w:type="paragraph" w:customStyle="1" w:styleId="1CStyle19">
    <w:name w:val="1CStyle19"/>
    <w:pPr>
      <w:jc w:val="center"/>
    </w:pPr>
    <w:rPr>
      <w:rFonts w:ascii="Times New Roman" w:hAnsi="Times New Roman"/>
      <w:b/>
    </w:rPr>
  </w:style>
  <w:style w:type="paragraph" w:customStyle="1" w:styleId="1CStyle3">
    <w:name w:val="1CStyle3"/>
    <w:pPr>
      <w:jc w:val="center"/>
    </w:pPr>
    <w:rPr>
      <w:rFonts w:ascii="Times New Roman" w:hAnsi="Times New Roman"/>
      <w:b/>
    </w:rPr>
  </w:style>
  <w:style w:type="paragraph" w:customStyle="1" w:styleId="1CStyle5">
    <w:name w:val="1CStyle5"/>
    <w:pPr>
      <w:jc w:val="center"/>
    </w:pPr>
    <w:rPr>
      <w:rFonts w:ascii="Times New Roman" w:hAnsi="Times New Roman"/>
    </w:rPr>
  </w:style>
  <w:style w:type="paragraph" w:customStyle="1" w:styleId="1CStyle4">
    <w:name w:val="1CStyle4"/>
    <w:pPr>
      <w:jc w:val="center"/>
    </w:pPr>
    <w:rPr>
      <w:rFonts w:ascii="Times New Roman" w:hAnsi="Times New Roman"/>
      <w:b/>
    </w:rPr>
  </w:style>
  <w:style w:type="paragraph" w:customStyle="1" w:styleId="1CStyle26">
    <w:name w:val="1CStyle26"/>
    <w:pPr>
      <w:jc w:val="center"/>
    </w:pPr>
    <w:rPr>
      <w:rFonts w:ascii="Times New Roman" w:hAnsi="Times New Roman"/>
    </w:rPr>
  </w:style>
  <w:style w:type="paragraph" w:customStyle="1" w:styleId="1CStyle2">
    <w:name w:val="1CStyle2"/>
    <w:pPr>
      <w:jc w:val="center"/>
    </w:pPr>
    <w:rPr>
      <w:rFonts w:ascii="Times New Roman" w:hAnsi="Times New Roman"/>
      <w:b/>
    </w:rPr>
  </w:style>
  <w:style w:type="paragraph" w:customStyle="1" w:styleId="1CStyle6">
    <w:name w:val="1CStyle6"/>
    <w:pPr>
      <w:jc w:val="center"/>
    </w:pPr>
    <w:rPr>
      <w:rFonts w:ascii="Times New Roman" w:hAnsi="Times New Roman"/>
      <w:sz w:val="20"/>
    </w:rPr>
  </w:style>
  <w:style w:type="paragraph" w:customStyle="1" w:styleId="1CStyle8">
    <w:name w:val="1CStyle8"/>
    <w:pPr>
      <w:jc w:val="center"/>
    </w:pPr>
    <w:rPr>
      <w:rFonts w:ascii="Times New Roman" w:hAnsi="Times New Roman"/>
      <w:sz w:val="20"/>
    </w:rPr>
  </w:style>
  <w:style w:type="paragraph" w:customStyle="1" w:styleId="1CStyle21">
    <w:name w:val="1CStyle21"/>
    <w:pPr>
      <w:jc w:val="right"/>
    </w:pPr>
    <w:rPr>
      <w:rFonts w:ascii="Times New Roman" w:hAnsi="Times New Roman"/>
    </w:rPr>
  </w:style>
  <w:style w:type="paragraph" w:customStyle="1" w:styleId="1CStyle-1">
    <w:name w:val="1CStyle-1"/>
    <w:pPr>
      <w:jc w:val="center"/>
    </w:pPr>
    <w:rPr>
      <w:rFonts w:ascii="Times New Roman" w:hAnsi="Times New Roman"/>
    </w:rPr>
  </w:style>
  <w:style w:type="paragraph" w:customStyle="1" w:styleId="1CStyle24">
    <w:name w:val="1CStyle24"/>
    <w:pPr>
      <w:jc w:val="center"/>
    </w:pPr>
    <w:rPr>
      <w:rFonts w:ascii="Times New Roman" w:hAnsi="Times New Roman"/>
    </w:rPr>
  </w:style>
  <w:style w:type="paragraph" w:customStyle="1" w:styleId="1CStyle22">
    <w:name w:val="1CStyle22"/>
    <w:pPr>
      <w:jc w:val="center"/>
    </w:pPr>
    <w:rPr>
      <w:rFonts w:ascii="Times New Roman" w:hAnsi="Times New Roman"/>
    </w:rPr>
  </w:style>
  <w:style w:type="paragraph" w:customStyle="1" w:styleId="1CStyle13">
    <w:name w:val="1CStyle13"/>
    <w:pPr>
      <w:jc w:val="center"/>
    </w:pPr>
    <w:rPr>
      <w:rFonts w:ascii="Times New Roman" w:hAnsi="Times New Roman"/>
      <w:sz w:val="20"/>
    </w:rPr>
  </w:style>
  <w:style w:type="paragraph" w:customStyle="1" w:styleId="1CStyle27">
    <w:name w:val="1CStyle27"/>
    <w:pPr>
      <w:jc w:val="center"/>
    </w:pPr>
    <w:rPr>
      <w:rFonts w:ascii="Times New Roman" w:hAnsi="Times New Roman"/>
    </w:rPr>
  </w:style>
  <w:style w:type="paragraph" w:customStyle="1" w:styleId="1CStyle7">
    <w:name w:val="1CStyle7"/>
    <w:pPr>
      <w:jc w:val="center"/>
    </w:pPr>
    <w:rPr>
      <w:rFonts w:ascii="Times New Roman" w:hAnsi="Times New Roman"/>
      <w:sz w:val="20"/>
    </w:rPr>
  </w:style>
  <w:style w:type="paragraph" w:customStyle="1" w:styleId="1CStyle16">
    <w:name w:val="1CStyle16"/>
    <w:pPr>
      <w:jc w:val="center"/>
    </w:pPr>
    <w:rPr>
      <w:rFonts w:ascii="Times New Roman" w:hAnsi="Times New Roman"/>
      <w:sz w:val="20"/>
    </w:rPr>
  </w:style>
  <w:style w:type="paragraph" w:customStyle="1" w:styleId="1CStyle12">
    <w:name w:val="1CStyle12"/>
    <w:pPr>
      <w:jc w:val="center"/>
    </w:pPr>
    <w:rPr>
      <w:rFonts w:ascii="Times New Roman" w:hAnsi="Times New Roman"/>
      <w:sz w:val="20"/>
    </w:rPr>
  </w:style>
  <w:style w:type="paragraph" w:customStyle="1" w:styleId="1CStyle9">
    <w:name w:val="1CStyle9"/>
    <w:pPr>
      <w:jc w:val="center"/>
    </w:pPr>
    <w:rPr>
      <w:rFonts w:ascii="Times New Roman" w:hAnsi="Times New Roman"/>
      <w:sz w:val="20"/>
    </w:rPr>
  </w:style>
  <w:style w:type="paragraph" w:customStyle="1" w:styleId="1CStyle20">
    <w:name w:val="1CStyle20"/>
    <w:pPr>
      <w:jc w:val="center"/>
    </w:pPr>
    <w:rPr>
      <w:rFonts w:ascii="Times New Roman" w:hAnsi="Times New Roman"/>
      <w:b/>
    </w:rPr>
  </w:style>
  <w:style w:type="paragraph" w:customStyle="1" w:styleId="1CStyle10">
    <w:name w:val="1CStyle10"/>
    <w:pPr>
      <w:jc w:val="center"/>
    </w:pPr>
    <w:rPr>
      <w:rFonts w:ascii="Times New Roman" w:hAnsi="Times New Roman"/>
      <w:sz w:val="20"/>
    </w:rPr>
  </w:style>
  <w:style w:type="paragraph" w:customStyle="1" w:styleId="1CStyle29">
    <w:name w:val="1CStyle29"/>
    <w:pPr>
      <w:jc w:val="right"/>
    </w:pPr>
    <w:rPr>
      <w:rFonts w:ascii="Times New Roman" w:hAnsi="Times New Roman"/>
      <w:b/>
    </w:rPr>
  </w:style>
  <w:style w:type="paragraph" w:customStyle="1" w:styleId="1CStyle11">
    <w:name w:val="1CStyle11"/>
    <w:pPr>
      <w:jc w:val="center"/>
    </w:pPr>
    <w:rPr>
      <w:rFonts w:ascii="Times New Roman" w:hAnsi="Times New Roman"/>
      <w:sz w:val="20"/>
    </w:rPr>
  </w:style>
  <w:style w:type="paragraph" w:customStyle="1" w:styleId="1CStyle14">
    <w:name w:val="1CStyle14"/>
    <w:pPr>
      <w:jc w:val="right"/>
    </w:pPr>
    <w:rPr>
      <w:rFonts w:ascii="Times New Roman" w:hAnsi="Times New Roman"/>
      <w:sz w:val="20"/>
    </w:rPr>
  </w:style>
  <w:style w:type="paragraph" w:customStyle="1" w:styleId="1CStyle15">
    <w:name w:val="1CStyle15"/>
    <w:pPr>
      <w:jc w:val="center"/>
    </w:pPr>
    <w:rPr>
      <w:rFonts w:ascii="Times New Roman" w:hAnsi="Times New Roman"/>
      <w:sz w:val="20"/>
    </w:rPr>
  </w:style>
  <w:style w:type="paragraph" w:customStyle="1" w:styleId="1CStyle25">
    <w:name w:val="1CStyle25"/>
    <w:pPr>
      <w:jc w:val="center"/>
    </w:pPr>
    <w:rPr>
      <w:rFonts w:ascii="Times New Roman" w:hAnsi="Times New Roman"/>
    </w:rPr>
  </w:style>
  <w:style w:type="paragraph" w:customStyle="1" w:styleId="1CStyle28">
    <w:name w:val="1CStyle28"/>
    <w:pPr>
      <w:jc w:val="center"/>
    </w:pPr>
    <w:rPr>
      <w:rFonts w:ascii="Times New Roman" w:hAnsi="Times New Roman"/>
    </w:rPr>
  </w:style>
  <w:style w:type="paragraph" w:customStyle="1" w:styleId="1CStyle17">
    <w:name w:val="1CStyle17"/>
    <w:pPr>
      <w:ind w:left="20"/>
      <w:jc w:val="center"/>
    </w:pPr>
    <w:rPr>
      <w:rFonts w:ascii="Times New Roman" w:hAnsi="Times New Roman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715</Words>
  <Characters>4076</Characters>
  <Application>Microsoft Office Word</Application>
  <DocSecurity>0</DocSecurity>
  <Lines>33</Lines>
  <Paragraphs>9</Paragraphs>
  <ScaleCrop>false</ScaleCrop>
  <Company>Hewlett-Packard Company</Company>
  <LinksUpToDate>false</LinksUpToDate>
  <CharactersWithSpaces>4782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Иван Александрович Косенков</cp:lastModifiedBy>
  <cp:revision>2</cp:revision>
  <dcterms:created xsi:type="dcterms:W3CDTF">2017-01-17T08:58:00Z</dcterms:created>
  <dcterms:modified xsi:type="dcterms:W3CDTF">2017-01-17T08:58:00Z</dcterms:modified>
</cp:coreProperties>
</file>